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D" w:rsidRDefault="003D031D" w:rsidP="003D031D">
      <w:pPr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bookmarkStart w:id="0" w:name="_GoBack"/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Circular </w:t>
      </w:r>
      <w:r w:rsidR="00232D21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2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2</w:t>
      </w:r>
      <w:r w:rsidR="005201F2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. </w:t>
      </w:r>
      <w:r w:rsidR="00232D21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Forma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tos para Informes de Obras y Acciones, para entregar a la ASE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</w:t>
      </w:r>
    </w:p>
    <w:p w:rsidR="003D031D" w:rsidRDefault="003D031D" w:rsidP="003D031D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br/>
      </w: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Con Atención 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a</w:t>
      </w: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: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</w:p>
    <w:p w:rsidR="003D031D" w:rsidRDefault="003D031D" w:rsidP="003D031D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Presidente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Municipal,</w:t>
      </w: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  <w:r w:rsidRPr="003D031D">
        <w:rPr>
          <w:rFonts w:ascii="Calibri" w:eastAsia="Times New Roman" w:hAnsi="Calibri" w:cs="Calibri"/>
          <w:b/>
          <w:bCs/>
          <w:color w:val="444444"/>
          <w:sz w:val="23"/>
          <w:szCs w:val="23"/>
          <w:u w:val="single"/>
          <w:lang w:eastAsia="es-MX"/>
        </w:rPr>
        <w:t>Director de Obras y Servicios Públicos Municipales, Director de Desarrollo Económico y Social</w:t>
      </w:r>
      <w:r w:rsidRPr="003D031D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y</w:t>
      </w:r>
      <w:r w:rsidRPr="003D031D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Tesorero Municipal.</w:t>
      </w:r>
    </w:p>
    <w:bookmarkEnd w:id="0"/>
    <w:p w:rsidR="003D031D" w:rsidRDefault="003D031D" w:rsidP="00C75376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3C758C" w:rsidRPr="003D031D" w:rsidRDefault="00B43569" w:rsidP="003D031D">
      <w:pPr>
        <w:spacing w:line="360" w:lineRule="auto"/>
        <w:jc w:val="both"/>
        <w:rPr>
          <w:rFonts w:ascii="Calibri" w:hAnsi="Calibri" w:cs="Calibri"/>
          <w:color w:val="444444"/>
          <w:sz w:val="23"/>
          <w:szCs w:val="23"/>
        </w:rPr>
      </w:pPr>
      <w:r w:rsidRPr="003D031D">
        <w:rPr>
          <w:rFonts w:ascii="Calibri" w:hAnsi="Calibri" w:cs="Calibri"/>
          <w:color w:val="444444"/>
          <w:sz w:val="23"/>
          <w:szCs w:val="23"/>
        </w:rPr>
        <w:t>Por este medio s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e envían los </w:t>
      </w:r>
      <w:r w:rsidR="00831792" w:rsidRPr="003D031D">
        <w:rPr>
          <w:rFonts w:ascii="Calibri" w:hAnsi="Calibri" w:cs="Calibri"/>
          <w:b/>
          <w:color w:val="444444"/>
          <w:sz w:val="23"/>
          <w:szCs w:val="23"/>
        </w:rPr>
        <w:t>formatos que deberán utilizar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 </w:t>
      </w:r>
      <w:r w:rsidR="006E5568" w:rsidRPr="003D031D">
        <w:rPr>
          <w:rFonts w:ascii="Calibri" w:hAnsi="Calibri" w:cs="Calibri"/>
          <w:b/>
          <w:color w:val="444444"/>
          <w:sz w:val="23"/>
          <w:szCs w:val="23"/>
        </w:rPr>
        <w:t xml:space="preserve">el Director de Obras y Servicios Públicos Municipales, Director de Desarrollo </w:t>
      </w:r>
      <w:r w:rsidR="00C75376" w:rsidRPr="003D031D">
        <w:rPr>
          <w:rFonts w:ascii="Calibri" w:hAnsi="Calibri" w:cs="Calibri"/>
          <w:b/>
          <w:color w:val="444444"/>
          <w:sz w:val="23"/>
          <w:szCs w:val="23"/>
        </w:rPr>
        <w:t xml:space="preserve">Económico y Social </w:t>
      </w:r>
      <w:r w:rsidR="006E5568" w:rsidRPr="003D031D">
        <w:rPr>
          <w:rFonts w:ascii="Calibri" w:hAnsi="Calibri" w:cs="Calibri"/>
          <w:b/>
          <w:color w:val="444444"/>
          <w:sz w:val="23"/>
          <w:szCs w:val="23"/>
        </w:rPr>
        <w:t xml:space="preserve"> y</w:t>
      </w:r>
      <w:r w:rsidR="00C75376" w:rsidRPr="003D031D">
        <w:rPr>
          <w:rFonts w:ascii="Calibri" w:hAnsi="Calibri" w:cs="Calibri"/>
          <w:b/>
          <w:color w:val="444444"/>
          <w:sz w:val="23"/>
          <w:szCs w:val="23"/>
        </w:rPr>
        <w:t>/o a los responsables de algún programa, de</w:t>
      </w:r>
      <w:r w:rsidR="006E5568" w:rsidRPr="003D031D">
        <w:rPr>
          <w:rFonts w:ascii="Calibri" w:hAnsi="Calibri" w:cs="Calibri"/>
          <w:b/>
          <w:color w:val="444444"/>
          <w:sz w:val="23"/>
          <w:szCs w:val="23"/>
        </w:rPr>
        <w:t xml:space="preserve"> </w:t>
      </w:r>
      <w:r w:rsidR="00831792" w:rsidRPr="003D031D">
        <w:rPr>
          <w:rFonts w:ascii="Calibri" w:hAnsi="Calibri" w:cs="Calibri"/>
          <w:b/>
          <w:color w:val="444444"/>
          <w:sz w:val="23"/>
          <w:szCs w:val="23"/>
        </w:rPr>
        <w:t xml:space="preserve">los 58 municipios para presentar ante la </w:t>
      </w:r>
      <w:r w:rsidR="003D031D" w:rsidRPr="003D031D">
        <w:rPr>
          <w:rFonts w:ascii="Calibri" w:hAnsi="Calibri" w:cs="Calibri"/>
          <w:b/>
          <w:color w:val="444444"/>
          <w:sz w:val="23"/>
          <w:szCs w:val="23"/>
        </w:rPr>
        <w:t xml:space="preserve">Auditoría </w:t>
      </w:r>
      <w:r w:rsidR="00831792" w:rsidRPr="003D031D">
        <w:rPr>
          <w:rFonts w:ascii="Calibri" w:hAnsi="Calibri" w:cs="Calibri"/>
          <w:b/>
          <w:color w:val="444444"/>
          <w:sz w:val="23"/>
          <w:szCs w:val="23"/>
        </w:rPr>
        <w:t>Superior del Estado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 los </w:t>
      </w:r>
      <w:r w:rsidR="00831792" w:rsidRPr="003D031D">
        <w:rPr>
          <w:rFonts w:ascii="Calibri" w:hAnsi="Calibri" w:cs="Calibri"/>
          <w:b/>
          <w:i/>
          <w:color w:val="444444"/>
          <w:sz w:val="23"/>
          <w:szCs w:val="23"/>
          <w:u w:val="single"/>
        </w:rPr>
        <w:t xml:space="preserve">Programas de </w:t>
      </w:r>
      <w:r w:rsidR="003D031D" w:rsidRPr="003D031D">
        <w:rPr>
          <w:rFonts w:ascii="Calibri" w:hAnsi="Calibri" w:cs="Calibri"/>
          <w:b/>
          <w:i/>
          <w:color w:val="444444"/>
          <w:sz w:val="23"/>
          <w:szCs w:val="23"/>
          <w:u w:val="single"/>
        </w:rPr>
        <w:t xml:space="preserve">Obra Pública </w:t>
      </w:r>
      <w:r w:rsidR="00831792" w:rsidRPr="003D031D">
        <w:rPr>
          <w:rFonts w:ascii="Calibri" w:hAnsi="Calibri" w:cs="Calibri"/>
          <w:b/>
          <w:i/>
          <w:color w:val="444444"/>
          <w:sz w:val="23"/>
          <w:szCs w:val="23"/>
          <w:u w:val="single"/>
        </w:rPr>
        <w:t xml:space="preserve">y/o </w:t>
      </w:r>
      <w:r w:rsidR="003D031D" w:rsidRPr="003D031D">
        <w:rPr>
          <w:rFonts w:ascii="Calibri" w:hAnsi="Calibri" w:cs="Calibri"/>
          <w:b/>
          <w:i/>
          <w:color w:val="444444"/>
          <w:sz w:val="23"/>
          <w:szCs w:val="23"/>
          <w:u w:val="single"/>
        </w:rPr>
        <w:t>Acciones</w:t>
      </w:r>
      <w:r w:rsidR="003D031D" w:rsidRPr="003D031D">
        <w:rPr>
          <w:rFonts w:ascii="Calibri" w:hAnsi="Calibri" w:cs="Calibri"/>
          <w:color w:val="444444"/>
          <w:sz w:val="23"/>
          <w:szCs w:val="23"/>
        </w:rPr>
        <w:t xml:space="preserve"> 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al inicio de cada ejercicio fiscal; asimismo se envían los formatos para presentar de manera mensual los </w:t>
      </w:r>
      <w:r w:rsidR="00831792" w:rsidRPr="003D031D">
        <w:rPr>
          <w:rFonts w:ascii="Calibri" w:hAnsi="Calibri" w:cs="Calibri"/>
          <w:b/>
          <w:i/>
          <w:color w:val="444444"/>
          <w:sz w:val="23"/>
          <w:szCs w:val="23"/>
          <w:u w:val="single"/>
        </w:rPr>
        <w:t>Informes de Avances Físicos Financieros de obra pública y/o acciones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, así como los </w:t>
      </w:r>
      <w:r w:rsidR="00831792" w:rsidRPr="003D031D">
        <w:rPr>
          <w:rFonts w:ascii="Calibri" w:hAnsi="Calibri" w:cs="Calibri"/>
          <w:b/>
          <w:i/>
          <w:color w:val="444444"/>
          <w:sz w:val="23"/>
          <w:szCs w:val="23"/>
          <w:u w:val="single"/>
        </w:rPr>
        <w:t>formatos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 para registrar a detalle </w:t>
      </w:r>
      <w:r w:rsidR="003D031D">
        <w:rPr>
          <w:rFonts w:ascii="Calibri" w:hAnsi="Calibri" w:cs="Calibri"/>
          <w:color w:val="444444"/>
          <w:sz w:val="23"/>
          <w:szCs w:val="23"/>
        </w:rPr>
        <w:t>(</w:t>
      </w:r>
      <w:r w:rsidR="003D031D" w:rsidRPr="003D031D">
        <w:rPr>
          <w:rFonts w:ascii="Calibri" w:hAnsi="Calibri" w:cs="Calibri"/>
          <w:b/>
          <w:i/>
          <w:color w:val="444444"/>
          <w:sz w:val="23"/>
          <w:szCs w:val="23"/>
          <w:u w:val="single"/>
        </w:rPr>
        <w:t>Auxiliares</w:t>
      </w:r>
      <w:r w:rsidR="003D031D">
        <w:rPr>
          <w:rFonts w:ascii="Calibri" w:hAnsi="Calibri" w:cs="Calibri"/>
          <w:color w:val="444444"/>
          <w:sz w:val="23"/>
          <w:szCs w:val="23"/>
        </w:rPr>
        <w:t xml:space="preserve">) 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>cada uno de los gastos realizados de obra pública y/o acciones durante el mes que se informe</w:t>
      </w:r>
      <w:r w:rsidR="00C75376" w:rsidRPr="003D031D">
        <w:rPr>
          <w:rFonts w:ascii="Calibri" w:hAnsi="Calibri" w:cs="Calibri"/>
          <w:color w:val="444444"/>
          <w:sz w:val="23"/>
          <w:szCs w:val="23"/>
        </w:rPr>
        <w:t xml:space="preserve">; </w:t>
      </w:r>
      <w:r w:rsidR="00C75376" w:rsidRPr="003D031D">
        <w:rPr>
          <w:rFonts w:ascii="Calibri" w:hAnsi="Calibri" w:cs="Calibri"/>
          <w:i/>
          <w:color w:val="444444"/>
          <w:sz w:val="23"/>
          <w:szCs w:val="23"/>
        </w:rPr>
        <w:t>documentos que se complementaran con la información contable-financiera registrada e informada en el Sistema Automatizado de Administración y Contabilidad Gubernamental</w:t>
      </w:r>
      <w:r w:rsidR="003D031D" w:rsidRPr="003D031D">
        <w:rPr>
          <w:rFonts w:ascii="Calibri" w:hAnsi="Calibri" w:cs="Calibri"/>
          <w:i/>
          <w:color w:val="444444"/>
          <w:sz w:val="23"/>
          <w:szCs w:val="23"/>
        </w:rPr>
        <w:t xml:space="preserve"> (SAACG.Net)</w:t>
      </w:r>
      <w:r w:rsidR="00C75376" w:rsidRPr="003D031D">
        <w:rPr>
          <w:rFonts w:ascii="Calibri" w:hAnsi="Calibri" w:cs="Calibri"/>
          <w:i/>
          <w:color w:val="444444"/>
          <w:sz w:val="23"/>
          <w:szCs w:val="23"/>
        </w:rPr>
        <w:t>.</w:t>
      </w:r>
    </w:p>
    <w:p w:rsidR="00232D21" w:rsidRDefault="00232D21" w:rsidP="003D031D">
      <w:pPr>
        <w:spacing w:line="360" w:lineRule="auto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831792" w:rsidRDefault="00B43569" w:rsidP="003D031D">
      <w:pPr>
        <w:spacing w:line="360" w:lineRule="auto"/>
        <w:jc w:val="both"/>
        <w:rPr>
          <w:rFonts w:ascii="Calibri" w:hAnsi="Calibri" w:cs="Calibri"/>
          <w:color w:val="444444"/>
          <w:sz w:val="23"/>
          <w:szCs w:val="23"/>
        </w:rPr>
      </w:pPr>
      <w:r w:rsidRPr="003D031D">
        <w:rPr>
          <w:rFonts w:ascii="Calibri" w:hAnsi="Calibri" w:cs="Calibri"/>
          <w:color w:val="444444"/>
          <w:sz w:val="23"/>
          <w:szCs w:val="23"/>
        </w:rPr>
        <w:t xml:space="preserve">Estos documentos 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se </w:t>
      </w:r>
      <w:r w:rsidR="003D031D">
        <w:rPr>
          <w:rFonts w:ascii="Calibri" w:hAnsi="Calibri" w:cs="Calibri"/>
          <w:color w:val="444444"/>
          <w:sz w:val="23"/>
          <w:szCs w:val="23"/>
        </w:rPr>
        <w:t>deberán presentar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 de todo</w:t>
      </w:r>
      <w:r w:rsidRPr="003D031D">
        <w:rPr>
          <w:rFonts w:ascii="Calibri" w:hAnsi="Calibri" w:cs="Calibri"/>
          <w:color w:val="444444"/>
          <w:sz w:val="23"/>
          <w:szCs w:val="23"/>
        </w:rPr>
        <w:t>s y cada uno de los programas d</w:t>
      </w:r>
      <w:r w:rsidR="00831792" w:rsidRPr="003D031D">
        <w:rPr>
          <w:rFonts w:ascii="Calibri" w:hAnsi="Calibri" w:cs="Calibri"/>
          <w:color w:val="444444"/>
          <w:sz w:val="23"/>
          <w:szCs w:val="23"/>
        </w:rPr>
        <w:t xml:space="preserve">e inversión </w:t>
      </w:r>
      <w:r w:rsidRPr="003D031D">
        <w:rPr>
          <w:rFonts w:ascii="Calibri" w:hAnsi="Calibri" w:cs="Calibri"/>
          <w:color w:val="444444"/>
          <w:sz w:val="23"/>
          <w:szCs w:val="23"/>
        </w:rPr>
        <w:t>autorizados y que ejecutaran con recursos propios, estatales y federales, sin excepción.</w:t>
      </w:r>
    </w:p>
    <w:p w:rsidR="00232D21" w:rsidRDefault="00232D21" w:rsidP="00232D21">
      <w:pPr>
        <w:spacing w:line="360" w:lineRule="auto"/>
        <w:jc w:val="both"/>
        <w:rPr>
          <w:rFonts w:ascii="Calibri" w:hAnsi="Calibri" w:cs="Calibri"/>
          <w:color w:val="444444"/>
          <w:sz w:val="23"/>
          <w:szCs w:val="23"/>
        </w:rPr>
      </w:pPr>
    </w:p>
    <w:p w:rsidR="00232D21" w:rsidRPr="00232D21" w:rsidRDefault="00232D21" w:rsidP="00B91024">
      <w:pPr>
        <w:shd w:val="clear" w:color="auto" w:fill="FFFFFF"/>
        <w:spacing w:after="324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 w:rsidRPr="00232D21">
        <w:rPr>
          <w:rFonts w:ascii="Calibri" w:hAnsi="Calibri" w:cs="Calibri"/>
          <w:color w:val="444444"/>
          <w:sz w:val="23"/>
          <w:szCs w:val="23"/>
        </w:rPr>
        <w:t>Sin más por el momento quedamos a su disposición para atender cualquier duda o aclaración que se tenga al respecto, para lo que se podrán dirigir a esta Auditoría al teléfono (01 492) 92 98584 con</w:t>
      </w:r>
      <w:r w:rsidR="00B91024">
        <w:rPr>
          <w:rFonts w:ascii="Calibri" w:hAnsi="Calibri" w:cs="Calibri"/>
          <w:color w:val="444444"/>
          <w:sz w:val="23"/>
          <w:szCs w:val="23"/>
        </w:rPr>
        <w:t xml:space="preserve">: </w:t>
      </w:r>
      <w:r>
        <w:rPr>
          <w:rFonts w:ascii="Calibri" w:hAnsi="Calibri" w:cs="Calibri"/>
          <w:color w:val="444444"/>
          <w:sz w:val="23"/>
          <w:szCs w:val="23"/>
        </w:rPr>
        <w:t xml:space="preserve">Ing. Julio A. </w:t>
      </w:r>
      <w:r w:rsidR="00B91024">
        <w:rPr>
          <w:rFonts w:ascii="Calibri" w:hAnsi="Calibri" w:cs="Calibri"/>
          <w:color w:val="444444"/>
          <w:sz w:val="23"/>
          <w:szCs w:val="23"/>
        </w:rPr>
        <w:t>Reséndiz</w:t>
      </w:r>
      <w:r>
        <w:rPr>
          <w:rFonts w:ascii="Calibri" w:hAnsi="Calibri" w:cs="Calibri"/>
          <w:color w:val="444444"/>
          <w:sz w:val="23"/>
          <w:szCs w:val="23"/>
        </w:rPr>
        <w:t xml:space="preserve"> Nava</w:t>
      </w:r>
      <w:r w:rsidR="00B91024">
        <w:rPr>
          <w:rFonts w:ascii="Calibri" w:hAnsi="Calibri" w:cs="Calibri"/>
          <w:color w:val="444444"/>
          <w:sz w:val="23"/>
          <w:szCs w:val="23"/>
        </w:rPr>
        <w:t xml:space="preserve"> (ext. 130), Ing. </w:t>
      </w:r>
      <w:r w:rsidRPr="00232D21">
        <w:rPr>
          <w:rFonts w:ascii="Calibri" w:hAnsi="Calibri" w:cs="Calibri"/>
          <w:color w:val="444444"/>
          <w:sz w:val="23"/>
          <w:szCs w:val="23"/>
        </w:rPr>
        <w:t xml:space="preserve"> </w:t>
      </w:r>
      <w:r w:rsidR="00B91024">
        <w:rPr>
          <w:rFonts w:ascii="Calibri" w:hAnsi="Calibri" w:cs="Calibri"/>
          <w:color w:val="444444"/>
          <w:sz w:val="23"/>
          <w:szCs w:val="23"/>
        </w:rPr>
        <w:t xml:space="preserve">J. Francisco Mauricio Gaytán e Ing. Ana María Velázquez Medellín </w:t>
      </w:r>
      <w:r w:rsidRPr="00232D21">
        <w:rPr>
          <w:rFonts w:ascii="Calibri" w:hAnsi="Calibri" w:cs="Calibri"/>
          <w:color w:val="444444"/>
          <w:sz w:val="23"/>
          <w:szCs w:val="23"/>
        </w:rPr>
        <w:t>(ext. 1</w:t>
      </w:r>
      <w:r w:rsidR="00B91024">
        <w:rPr>
          <w:rFonts w:ascii="Calibri" w:hAnsi="Calibri" w:cs="Calibri"/>
          <w:color w:val="444444"/>
          <w:sz w:val="23"/>
          <w:szCs w:val="23"/>
        </w:rPr>
        <w:t xml:space="preserve">33), </w:t>
      </w:r>
      <w:r w:rsidR="00B91024" w:rsidRPr="00196D59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L.C. Karla Julieta Cardona Infante y L.C. Miguel Martínez Ramírez (ext. 156), o a través de correo electrónico a la dirección</w:t>
      </w:r>
      <w:r w:rsidR="00B91024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:</w:t>
      </w:r>
      <w:r w:rsidR="00B91024" w:rsidRPr="00196D59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 armonizacion_asezac@hotmail.com</w:t>
      </w:r>
      <w:proofErr w:type="gramStart"/>
      <w:r w:rsidR="00B91024" w:rsidRPr="00196D59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.</w:t>
      </w:r>
      <w:r w:rsidR="00B91024">
        <w:rPr>
          <w:rFonts w:ascii="Calibri" w:hAnsi="Calibri" w:cs="Calibri"/>
          <w:color w:val="444444"/>
          <w:sz w:val="23"/>
          <w:szCs w:val="23"/>
        </w:rPr>
        <w:t>.</w:t>
      </w:r>
      <w:proofErr w:type="gramEnd"/>
    </w:p>
    <w:p w:rsidR="003D031D" w:rsidRPr="003D031D" w:rsidRDefault="003D031D" w:rsidP="00621FE0">
      <w:pPr>
        <w:jc w:val="righ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Guadalupe, Zacatecas., a 27 de junio de 2014.</w:t>
      </w:r>
    </w:p>
    <w:sectPr w:rsidR="003D031D" w:rsidRPr="003D0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92"/>
    <w:rsid w:val="00232D21"/>
    <w:rsid w:val="003C758C"/>
    <w:rsid w:val="003D031D"/>
    <w:rsid w:val="005201F2"/>
    <w:rsid w:val="00621FE0"/>
    <w:rsid w:val="006E5568"/>
    <w:rsid w:val="00831792"/>
    <w:rsid w:val="00B43569"/>
    <w:rsid w:val="00B91024"/>
    <w:rsid w:val="00C75376"/>
    <w:rsid w:val="00D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5</cp:revision>
  <dcterms:created xsi:type="dcterms:W3CDTF">2014-06-27T17:00:00Z</dcterms:created>
  <dcterms:modified xsi:type="dcterms:W3CDTF">2015-05-28T20:38:00Z</dcterms:modified>
</cp:coreProperties>
</file>